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3F606" w14:textId="77777777" w:rsidR="009255F5" w:rsidRPr="00164CF2" w:rsidRDefault="009255F5" w:rsidP="009255F5">
      <w:pPr>
        <w:ind w:left="720" w:hanging="360"/>
        <w:rPr>
          <w:rStyle w:val="Emphasis"/>
          <w:rFonts w:ascii="Arial" w:hAnsi="Arial" w:cs="Arial"/>
          <w:b/>
          <w:bCs/>
          <w:i w:val="0"/>
        </w:rPr>
      </w:pPr>
      <w:r w:rsidRPr="00706F14">
        <w:rPr>
          <w:rFonts w:ascii="Arial" w:hAnsi="Arial" w:cs="Arial"/>
          <w:b/>
        </w:rPr>
        <w:t>Fuel and Purchased Power Procurement Practices</w:t>
      </w:r>
      <w:r>
        <w:rPr>
          <w:b/>
        </w:rPr>
        <w:t xml:space="preserve">                                            </w:t>
      </w:r>
    </w:p>
    <w:p w14:paraId="2A920AB0" w14:textId="77777777" w:rsidR="009255F5" w:rsidRPr="00164CF2" w:rsidRDefault="009255F5" w:rsidP="009255F5">
      <w:pPr>
        <w:ind w:left="720" w:hanging="360"/>
        <w:rPr>
          <w:rStyle w:val="Emphasis"/>
          <w:rFonts w:ascii="Arial" w:hAnsi="Arial" w:cs="Arial"/>
          <w:b/>
          <w:bCs/>
          <w:i w:val="0"/>
        </w:rPr>
      </w:pPr>
    </w:p>
    <w:p w14:paraId="3FB0D8DB" w14:textId="77777777" w:rsidR="009255F5" w:rsidRPr="009255F5" w:rsidRDefault="009255F5" w:rsidP="009255F5">
      <w:pPr>
        <w:ind w:left="720" w:hanging="360"/>
        <w:rPr>
          <w:rStyle w:val="Emphasis"/>
          <w:rFonts w:ascii="Arial" w:hAnsi="Arial" w:cs="Arial"/>
          <w:bCs/>
          <w:i w:val="0"/>
          <w:iCs w:val="0"/>
        </w:rPr>
      </w:pPr>
      <w:r w:rsidRPr="009255F5">
        <w:rPr>
          <w:rFonts w:ascii="Arial" w:hAnsi="Arial" w:cs="Arial"/>
        </w:rPr>
        <w:t xml:space="preserve">(1) The current coal fuel procurement procedures of Georgia Power Company are included as Attachment MFRH-6A. </w:t>
      </w:r>
    </w:p>
    <w:p w14:paraId="7E7C1801" w14:textId="77777777" w:rsidR="009255F5" w:rsidRPr="009255F5" w:rsidRDefault="009255F5" w:rsidP="009255F5">
      <w:pPr>
        <w:ind w:left="720" w:hanging="360"/>
        <w:rPr>
          <w:rStyle w:val="Emphasis"/>
          <w:rFonts w:ascii="Arial" w:hAnsi="Arial" w:cs="Arial"/>
          <w:bCs/>
          <w:i w:val="0"/>
          <w:iCs w:val="0"/>
        </w:rPr>
      </w:pPr>
    </w:p>
    <w:p w14:paraId="79B1E562" w14:textId="77777777" w:rsidR="009255F5" w:rsidRPr="009255F5" w:rsidRDefault="009255F5" w:rsidP="009255F5">
      <w:pPr>
        <w:ind w:left="720" w:hanging="360"/>
        <w:rPr>
          <w:rStyle w:val="Emphasis"/>
          <w:rFonts w:ascii="Arial" w:hAnsi="Arial" w:cs="Arial"/>
          <w:i w:val="0"/>
          <w:iCs w:val="0"/>
        </w:rPr>
      </w:pPr>
      <w:r w:rsidRPr="009255F5">
        <w:rPr>
          <w:rStyle w:val="Emphasis"/>
          <w:rFonts w:ascii="Arial" w:hAnsi="Arial" w:cs="Arial"/>
          <w:bCs/>
          <w:i w:val="0"/>
          <w:iCs w:val="0"/>
        </w:rPr>
        <w:t>(2) Georgia Power Company’s short-term purchased power procurement</w:t>
      </w:r>
      <w:r w:rsidRPr="009255F5">
        <w:rPr>
          <w:rStyle w:val="Emphasis"/>
          <w:rFonts w:ascii="Arial" w:hAnsi="Arial" w:cs="Arial"/>
          <w:i w:val="0"/>
          <w:iCs w:val="0"/>
        </w:rPr>
        <w:t xml:space="preserve"> decisions are based on two primary drivers: (1)</w:t>
      </w:r>
      <w:r w:rsidRPr="009255F5">
        <w:rPr>
          <w:rFonts w:ascii="Arial" w:hAnsi="Arial" w:cs="Arial"/>
        </w:rPr>
        <w:t xml:space="preserve"> </w:t>
      </w:r>
      <w:r w:rsidRPr="009255F5">
        <w:rPr>
          <w:rStyle w:val="Emphasis"/>
          <w:rFonts w:ascii="Arial" w:hAnsi="Arial" w:cs="Arial"/>
          <w:i w:val="0"/>
          <w:iCs w:val="0"/>
        </w:rPr>
        <w:t>supply</w:t>
      </w:r>
      <w:r w:rsidRPr="009255F5">
        <w:rPr>
          <w:rFonts w:ascii="Arial" w:hAnsi="Arial" w:cs="Arial"/>
        </w:rPr>
        <w:t xml:space="preserve"> </w:t>
      </w:r>
      <w:r w:rsidRPr="009255F5">
        <w:rPr>
          <w:rStyle w:val="Emphasis"/>
          <w:rFonts w:ascii="Arial" w:hAnsi="Arial" w:cs="Arial"/>
          <w:i w:val="0"/>
          <w:iCs w:val="0"/>
        </w:rPr>
        <w:t xml:space="preserve">reliability and (2) economics.  If the Pool determines that purchases are necessary </w:t>
      </w:r>
      <w:proofErr w:type="gramStart"/>
      <w:r w:rsidRPr="009255F5">
        <w:rPr>
          <w:rStyle w:val="Emphasis"/>
          <w:rFonts w:ascii="Arial" w:hAnsi="Arial" w:cs="Arial"/>
          <w:i w:val="0"/>
          <w:iCs w:val="0"/>
        </w:rPr>
        <w:t>in order to</w:t>
      </w:r>
      <w:proofErr w:type="gramEnd"/>
      <w:r w:rsidRPr="009255F5">
        <w:rPr>
          <w:rStyle w:val="Emphasis"/>
          <w:rFonts w:ascii="Arial" w:hAnsi="Arial" w:cs="Arial"/>
          <w:i w:val="0"/>
          <w:iCs w:val="0"/>
        </w:rPr>
        <w:t xml:space="preserve"> ensure reliable supply, then such purchases are made.  Economic purchases are made when it can reasonably be expected that such purchases would offset higher cost generation, resulting in savings to the customer.</w:t>
      </w:r>
    </w:p>
    <w:p w14:paraId="38B9C6BB" w14:textId="77777777" w:rsidR="009255F5" w:rsidRPr="009255F5" w:rsidRDefault="009255F5" w:rsidP="009255F5">
      <w:pPr>
        <w:ind w:left="720" w:hanging="360"/>
        <w:rPr>
          <w:rStyle w:val="Emphasis"/>
          <w:rFonts w:ascii="Arial" w:hAnsi="Arial" w:cs="Arial"/>
          <w:bCs/>
          <w:i w:val="0"/>
          <w:iCs w:val="0"/>
        </w:rPr>
      </w:pPr>
    </w:p>
    <w:p w14:paraId="4A09BD96" w14:textId="77777777" w:rsidR="009255F5" w:rsidRPr="009255F5" w:rsidRDefault="009255F5" w:rsidP="009255F5">
      <w:pPr>
        <w:ind w:left="720" w:hanging="360"/>
        <w:jc w:val="both"/>
        <w:rPr>
          <w:rStyle w:val="Emphasis"/>
          <w:rFonts w:ascii="Arial" w:hAnsi="Arial" w:cs="Arial"/>
          <w:i w:val="0"/>
          <w:iCs w:val="0"/>
        </w:rPr>
      </w:pPr>
      <w:r w:rsidRPr="009255F5">
        <w:rPr>
          <w:rStyle w:val="Emphasis"/>
          <w:rFonts w:ascii="Arial" w:hAnsi="Arial" w:cs="Arial"/>
          <w:bCs/>
          <w:i w:val="0"/>
          <w:iCs w:val="0"/>
        </w:rPr>
        <w:t>(3)</w:t>
      </w:r>
      <w:r w:rsidRPr="009255F5">
        <w:rPr>
          <w:rStyle w:val="Emphasis"/>
          <w:b/>
          <w:bCs/>
          <w:i w:val="0"/>
          <w:iCs w:val="0"/>
          <w:sz w:val="14"/>
          <w:szCs w:val="14"/>
        </w:rPr>
        <w:t>  </w:t>
      </w:r>
      <w:r w:rsidRPr="009255F5">
        <w:rPr>
          <w:rStyle w:val="Emphasis"/>
          <w:rFonts w:ascii="Arial" w:hAnsi="Arial" w:cs="Arial"/>
          <w:i w:val="0"/>
          <w:iCs w:val="0"/>
        </w:rPr>
        <w:t>The current Intercompany Interchange Contract ("IIC") is included as Attachment MFRH-6B</w:t>
      </w:r>
    </w:p>
    <w:p w14:paraId="72BB1288" w14:textId="77777777" w:rsidR="009255F5" w:rsidRPr="009255F5" w:rsidRDefault="009255F5" w:rsidP="009255F5">
      <w:pPr>
        <w:ind w:left="720" w:hanging="360"/>
        <w:jc w:val="both"/>
        <w:rPr>
          <w:rStyle w:val="Emphasis"/>
          <w:rFonts w:ascii="Arial" w:hAnsi="Arial" w:cs="Arial"/>
          <w:i w:val="0"/>
          <w:iCs w:val="0"/>
        </w:rPr>
      </w:pPr>
    </w:p>
    <w:p w14:paraId="0DC2F2F4" w14:textId="77777777" w:rsidR="009255F5" w:rsidRPr="009255F5" w:rsidRDefault="009255F5" w:rsidP="009255F5">
      <w:pPr>
        <w:ind w:left="720" w:hanging="360"/>
        <w:rPr>
          <w:rStyle w:val="Emphasis"/>
          <w:rFonts w:ascii="Arial" w:hAnsi="Arial" w:cs="Arial"/>
          <w:i w:val="0"/>
          <w:iCs w:val="0"/>
        </w:rPr>
      </w:pPr>
      <w:r w:rsidRPr="009255F5">
        <w:rPr>
          <w:rStyle w:val="Emphasis"/>
          <w:rFonts w:ascii="Arial" w:hAnsi="Arial" w:cs="Arial"/>
          <w:i w:val="0"/>
          <w:iCs w:val="0"/>
        </w:rPr>
        <w:t>(4) Southern Company’s Coal, Transportation and Railcar Procurement Strategy is included as Attachment MFRH-6C.</w:t>
      </w:r>
    </w:p>
    <w:p w14:paraId="0AEF44C0" w14:textId="77777777" w:rsidR="009255F5" w:rsidRPr="009255F5" w:rsidRDefault="009255F5" w:rsidP="009255F5">
      <w:pPr>
        <w:ind w:left="720" w:hanging="360"/>
        <w:jc w:val="both"/>
        <w:rPr>
          <w:rStyle w:val="Emphasis"/>
          <w:rFonts w:ascii="Arial" w:hAnsi="Arial" w:cs="Arial"/>
          <w:i w:val="0"/>
          <w:iCs w:val="0"/>
        </w:rPr>
      </w:pPr>
    </w:p>
    <w:p w14:paraId="182D1F84" w14:textId="77777777" w:rsidR="009255F5" w:rsidRPr="009255F5" w:rsidRDefault="009255F5" w:rsidP="009255F5">
      <w:pPr>
        <w:ind w:left="720" w:hanging="360"/>
        <w:rPr>
          <w:rFonts w:ascii="Arial" w:hAnsi="Arial" w:cs="Arial"/>
        </w:rPr>
      </w:pPr>
      <w:r w:rsidRPr="009255F5">
        <w:rPr>
          <w:rStyle w:val="Emphasis"/>
          <w:rFonts w:ascii="Arial" w:hAnsi="Arial" w:cs="Arial"/>
          <w:i w:val="0"/>
          <w:iCs w:val="0"/>
        </w:rPr>
        <w:t xml:space="preserve">(5) </w:t>
      </w:r>
      <w:r w:rsidRPr="009255F5">
        <w:rPr>
          <w:rFonts w:ascii="Arial" w:hAnsi="Arial" w:cs="Arial"/>
        </w:rPr>
        <w:t>The current financial review procedures of Georgia Power Company are included as Attachment MFRH-6D.</w:t>
      </w:r>
    </w:p>
    <w:p w14:paraId="161ED369" w14:textId="77777777" w:rsidR="009255F5" w:rsidRPr="009255F5" w:rsidRDefault="009255F5" w:rsidP="009255F5">
      <w:pPr>
        <w:ind w:left="720" w:hanging="360"/>
        <w:jc w:val="both"/>
        <w:rPr>
          <w:rFonts w:ascii="Arial" w:hAnsi="Arial" w:cs="Arial"/>
        </w:rPr>
      </w:pPr>
    </w:p>
    <w:p w14:paraId="37A12F6C" w14:textId="77777777" w:rsidR="009255F5" w:rsidRPr="009255F5" w:rsidRDefault="009255F5" w:rsidP="009255F5">
      <w:pPr>
        <w:ind w:left="720" w:hanging="360"/>
        <w:jc w:val="both"/>
        <w:rPr>
          <w:rFonts w:ascii="Arial" w:hAnsi="Arial" w:cs="Arial"/>
        </w:rPr>
      </w:pPr>
      <w:r w:rsidRPr="009255F5">
        <w:rPr>
          <w:rStyle w:val="Emphasis"/>
          <w:rFonts w:ascii="Arial" w:hAnsi="Arial" w:cs="Arial"/>
          <w:i w:val="0"/>
          <w:iCs w:val="0"/>
        </w:rPr>
        <w:t xml:space="preserve">(6) </w:t>
      </w:r>
      <w:r w:rsidRPr="009255F5">
        <w:rPr>
          <w:rFonts w:ascii="Arial" w:hAnsi="Arial" w:cs="Arial"/>
        </w:rPr>
        <w:t>The fossil fuel policy of Georgia Power Company is included as Attachment MFRH-6E.</w:t>
      </w:r>
    </w:p>
    <w:p w14:paraId="3DA518A1" w14:textId="77777777" w:rsidR="009255F5" w:rsidRPr="00603BDA" w:rsidRDefault="009255F5" w:rsidP="009255F5">
      <w:pPr>
        <w:ind w:left="720" w:hanging="360"/>
        <w:jc w:val="both"/>
        <w:rPr>
          <w:rFonts w:ascii="Arial" w:hAnsi="Arial" w:cs="Arial"/>
        </w:rPr>
      </w:pPr>
    </w:p>
    <w:p w14:paraId="3A4BF584" w14:textId="77777777" w:rsidR="00040956" w:rsidRDefault="00040956"/>
    <w:sectPr w:rsidR="0004095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C0B99" w14:textId="77777777" w:rsidR="009255F5" w:rsidRDefault="009255F5" w:rsidP="009255F5">
      <w:r>
        <w:separator/>
      </w:r>
    </w:p>
  </w:endnote>
  <w:endnote w:type="continuationSeparator" w:id="0">
    <w:p w14:paraId="0A8F0CEA" w14:textId="77777777" w:rsidR="009255F5" w:rsidRDefault="009255F5" w:rsidP="00925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6929C" w14:textId="77777777" w:rsidR="009255F5" w:rsidRDefault="009255F5" w:rsidP="009255F5">
      <w:r>
        <w:separator/>
      </w:r>
    </w:p>
  </w:footnote>
  <w:footnote w:type="continuationSeparator" w:id="0">
    <w:p w14:paraId="45D5E4E1" w14:textId="77777777" w:rsidR="009255F5" w:rsidRDefault="009255F5" w:rsidP="00925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4ED7" w14:textId="77777777" w:rsidR="009255F5" w:rsidRDefault="009255F5" w:rsidP="009255F5">
    <w:pPr>
      <w:pStyle w:val="Header"/>
      <w:jc w:val="right"/>
      <w:rPr>
        <w:rFonts w:ascii="Arial" w:hAnsi="Arial" w:cs="Arial"/>
        <w:b/>
      </w:rPr>
    </w:pP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MFRH-6</w:t>
    </w:r>
  </w:p>
  <w:p w14:paraId="09286141" w14:textId="240A8CE5" w:rsidR="009255F5" w:rsidRDefault="009255F5" w:rsidP="009255F5">
    <w:pPr>
      <w:pStyle w:val="Header"/>
    </w:pPr>
    <w:r>
      <w:rPr>
        <w:rFonts w:ascii="Arial" w:hAnsi="Arial" w:cs="Arial"/>
        <w:b/>
      </w:rPr>
      <w:t xml:space="preserve">                                                                                     </w:t>
    </w:r>
    <w:r>
      <w:rPr>
        <w:rFonts w:ascii="Arial" w:hAnsi="Arial" w:cs="Arial"/>
        <w:b/>
      </w:rPr>
      <w:tab/>
      <w:t xml:space="preserve">    Docket No. 44902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5F5"/>
    <w:rsid w:val="00040956"/>
    <w:rsid w:val="001B5604"/>
    <w:rsid w:val="002B345A"/>
    <w:rsid w:val="007942D4"/>
    <w:rsid w:val="009255F5"/>
    <w:rsid w:val="00C3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4FF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5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9255F5"/>
    <w:rPr>
      <w:i/>
      <w:iCs/>
    </w:rPr>
  </w:style>
  <w:style w:type="paragraph" w:styleId="Header">
    <w:name w:val="header"/>
    <w:basedOn w:val="Normal"/>
    <w:link w:val="HeaderChar"/>
    <w:unhideWhenUsed/>
    <w:rsid w:val="009255F5"/>
    <w:pPr>
      <w:tabs>
        <w:tab w:val="center" w:pos="4680"/>
        <w:tab w:val="right" w:pos="9360"/>
      </w:tabs>
    </w:pPr>
  </w:style>
  <w:style w:type="character" w:customStyle="1" w:styleId="HeaderChar">
    <w:name w:val="Header Char"/>
    <w:basedOn w:val="DefaultParagraphFont"/>
    <w:link w:val="Header"/>
    <w:rsid w:val="009255F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5F5"/>
    <w:pPr>
      <w:tabs>
        <w:tab w:val="center" w:pos="4680"/>
        <w:tab w:val="right" w:pos="9360"/>
      </w:tabs>
    </w:pPr>
  </w:style>
  <w:style w:type="character" w:customStyle="1" w:styleId="FooterChar">
    <w:name w:val="Footer Char"/>
    <w:basedOn w:val="DefaultParagraphFont"/>
    <w:link w:val="Footer"/>
    <w:uiPriority w:val="99"/>
    <w:rsid w:val="009255F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2023-02-27T17:06:00Z</dcterms:created>
  <dcterms:modified xsi:type="dcterms:W3CDTF">2023-02-27T17:06:00Z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